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087" w14:textId="323BE9C9" w:rsidR="00FD07A1" w:rsidRDefault="00FD07A1">
      <w:pPr>
        <w:rPr>
          <w:rFonts w:ascii="Lucida Bright" w:hAnsi="Lucida Bright"/>
          <w:b/>
          <w:sz w:val="28"/>
          <w:szCs w:val="28"/>
        </w:rPr>
      </w:pPr>
      <w:r w:rsidRPr="00FD07A1">
        <w:rPr>
          <w:rFonts w:ascii="Lucida Bright" w:hAnsi="Lucida Bright"/>
          <w:b/>
          <w:sz w:val="28"/>
          <w:szCs w:val="28"/>
        </w:rPr>
        <w:t>All of the objectives for each class relate to 2030 Promise Plan: Hawaii State Department of Education Strategic Plan</w:t>
      </w:r>
    </w:p>
    <w:p w14:paraId="3F848AFA" w14:textId="5AD4732F" w:rsidR="003F6387" w:rsidRDefault="003F6387">
      <w:pPr>
        <w:rPr>
          <w:rFonts w:ascii="Lucida Bright" w:hAnsi="Lucida Bright"/>
          <w:b/>
          <w:sz w:val="28"/>
          <w:szCs w:val="28"/>
        </w:rPr>
      </w:pPr>
    </w:p>
    <w:p w14:paraId="2353AE2A" w14:textId="31390209" w:rsidR="003F6387" w:rsidRPr="00FD07A1" w:rsidRDefault="003F6387" w:rsidP="003F6387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The statements below each class title is a direct quote from the 2030 Promise Plan</w:t>
      </w:r>
    </w:p>
    <w:p w14:paraId="02B8BD6E" w14:textId="0447E687" w:rsidR="00FD07A1" w:rsidRDefault="00FD07A1"/>
    <w:p w14:paraId="55637A0C" w14:textId="77777777" w:rsidR="00FD07A1" w:rsidRDefault="00FD07A1"/>
    <w:tbl>
      <w:tblPr>
        <w:tblW w:w="11567" w:type="dxa"/>
        <w:tblInd w:w="-320" w:type="dxa"/>
        <w:tblLayout w:type="fixed"/>
        <w:tblLook w:val="0600" w:firstRow="0" w:lastRow="0" w:firstColumn="0" w:lastColumn="0" w:noHBand="1" w:noVBand="1"/>
      </w:tblPr>
      <w:tblGrid>
        <w:gridCol w:w="11567"/>
      </w:tblGrid>
      <w:tr w:rsidR="00865F4E" w:rsidRPr="001B13ED" w14:paraId="08A40E1D" w14:textId="77777777" w:rsidTr="00FD07A1">
        <w:trPr>
          <w:trHeight w:val="220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3BC0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How to Build Partnerships With Parents, Community Resources and District Program</w:t>
            </w:r>
          </w:p>
          <w:p w14:paraId="2ED59D09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We will improve communication with families and communities</w:t>
            </w:r>
          </w:p>
          <w:p w14:paraId="53F621FF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and provide them with the information needed to understand</w:t>
            </w:r>
          </w:p>
          <w:p w14:paraId="24830CEA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how their children are doing in school. We will also provide</w:t>
            </w:r>
          </w:p>
          <w:p w14:paraId="529343EC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integrated cross-agency supports to our families and</w:t>
            </w:r>
          </w:p>
          <w:p w14:paraId="76A1A98B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communities to allow them to successfully engage in their</w:t>
            </w:r>
          </w:p>
          <w:p w14:paraId="1D16A426" w14:textId="32F24085" w:rsidR="0074500D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children’s education, which will promote student success.</w:t>
            </w:r>
          </w:p>
        </w:tc>
      </w:tr>
      <w:tr w:rsidR="00865F4E" w:rsidRPr="001B13ED" w14:paraId="52CC6C02" w14:textId="77777777" w:rsidTr="00FD07A1">
        <w:trPr>
          <w:trHeight w:val="238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187D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How to Create a Positive Learning Environment in your Classroom</w:t>
            </w:r>
          </w:p>
          <w:p w14:paraId="3FBAB7AB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Through innovation, teachers will be</w:t>
            </w:r>
          </w:p>
          <w:p w14:paraId="7924E06D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empowered to expand their teaching repertoire and provide</w:t>
            </w:r>
          </w:p>
          <w:p w14:paraId="16C2B67A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students with an array of meaningful learning opportunities that</w:t>
            </w:r>
          </w:p>
          <w:p w14:paraId="18BE2CE1" w14:textId="46DF29FB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will, in turn, empower students to create their own future.</w:t>
            </w:r>
          </w:p>
        </w:tc>
      </w:tr>
      <w:tr w:rsidR="00865F4E" w:rsidRPr="001B13ED" w14:paraId="6728AB0F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09D7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Strategies for Building a Culture of Excellence in your Classroom</w:t>
            </w:r>
          </w:p>
          <w:p w14:paraId="0128D438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We will promote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Nā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Hopena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Aʻo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, or HĀ (“BREATH”), as a</w:t>
            </w:r>
          </w:p>
          <w:p w14:paraId="16620F4F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framework of system outcomes that reflect the expected</w:t>
            </w:r>
          </w:p>
          <w:p w14:paraId="4AF20E8F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behaviors, dispositions and functioning competencies of our</w:t>
            </w:r>
          </w:p>
          <w:p w14:paraId="07587261" w14:textId="43256684" w:rsidR="009B3A01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system of learning and leading. Policy E-3.</w:t>
            </w:r>
          </w:p>
        </w:tc>
      </w:tr>
      <w:tr w:rsidR="00865F4E" w:rsidRPr="001B13ED" w14:paraId="49518B37" w14:textId="77777777" w:rsidTr="00FD07A1">
        <w:trPr>
          <w:trHeight w:val="201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0103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 xml:space="preserve">Differentiation Strategies: How to Meet the Instructional Needs of Each Student in </w:t>
            </w:r>
          </w:p>
          <w:p w14:paraId="54701F72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434343"/>
                <w:sz w:val="24"/>
                <w:szCs w:val="24"/>
              </w:rPr>
              <w:t>Y</w:t>
            </w: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our Classroom</w:t>
            </w:r>
          </w:p>
          <w:p w14:paraId="1EA328A0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val="en-US"/>
              </w:rPr>
              <w:t>Build capacity for differentiated rigorous</w:t>
            </w:r>
          </w:p>
          <w:p w14:paraId="745A4E19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val="en-US"/>
              </w:rPr>
              <w:t>instruction to meet the unique needs of all</w:t>
            </w:r>
          </w:p>
          <w:p w14:paraId="47731C54" w14:textId="77777777" w:rsidR="003F6387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learners in inclusion and the use of universal</w:t>
            </w:r>
          </w:p>
          <w:p w14:paraId="1E3744A7" w14:textId="2612971D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val="en-US"/>
              </w:rPr>
              <w:t>design in core content area classes.</w:t>
            </w:r>
          </w:p>
        </w:tc>
      </w:tr>
      <w:tr w:rsidR="00865F4E" w:rsidRPr="001B13ED" w14:paraId="0E68D681" w14:textId="77777777" w:rsidTr="00FD07A1">
        <w:trPr>
          <w:trHeight w:val="220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883D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Building a Sense of Belonging in Your Students</w:t>
            </w:r>
          </w:p>
          <w:p w14:paraId="7C81701E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We will promote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Nā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Hopena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Aʻo</w:t>
            </w:r>
            <w:proofErr w:type="spellEnd"/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, or HĀ (“BREATH”), as a</w:t>
            </w:r>
          </w:p>
          <w:p w14:paraId="0CB71C4C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framework of system outcomes that reflect the expected</w:t>
            </w:r>
          </w:p>
          <w:p w14:paraId="67C54A93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behaviors, dispositions and functioning competencies of our</w:t>
            </w:r>
          </w:p>
          <w:p w14:paraId="5856A0EF" w14:textId="16CAE7BC" w:rsidR="009B3A01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system of learning and leading. Policy E-3.</w:t>
            </w:r>
          </w:p>
        </w:tc>
      </w:tr>
      <w:tr w:rsidR="00865F4E" w:rsidRPr="001B13ED" w14:paraId="1A068914" w14:textId="77777777" w:rsidTr="00FD07A1">
        <w:trPr>
          <w:trHeight w:val="294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D8FE" w14:textId="77777777" w:rsidR="00865F4E" w:rsidRP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Reaching the Reluctant Learner</w:t>
            </w:r>
          </w:p>
        </w:tc>
      </w:tr>
      <w:tr w:rsidR="00865F4E" w:rsidRPr="001B13ED" w14:paraId="3EF115CA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79AE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 xml:space="preserve">Bringing Excitement to the Classroom: Understanding What Motivates &amp; Engages </w:t>
            </w:r>
          </w:p>
          <w:p w14:paraId="09D55FFA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Today's Students</w:t>
            </w:r>
          </w:p>
          <w:p w14:paraId="15BDCA4B" w14:textId="5E841E94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Teachers will</w:t>
            </w:r>
            <w:r w:rsidR="00422DE6"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be trained not only in the content and instructional practices, but</w:t>
            </w:r>
          </w:p>
          <w:p w14:paraId="2D0669E0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also in differentiated instruction, innovation and engagement,</w:t>
            </w:r>
          </w:p>
          <w:p w14:paraId="6A188CEA" w14:textId="77777777" w:rsidR="0074500D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trauma-informed care, and social-emotional learning to ensure</w:t>
            </w:r>
          </w:p>
          <w:p w14:paraId="07C580F6" w14:textId="4AE2E558" w:rsidR="0074500D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>
              <w:rPr>
                <w:rFonts w:ascii="Í˘Œ˛" w:eastAsiaTheme="minorHAnsi" w:hAnsi="Í˘Œ˛" w:cs="Í˘Œ˛"/>
                <w:color w:val="auto"/>
                <w:sz w:val="19"/>
                <w:szCs w:val="19"/>
                <w:lang w:val="en-US"/>
              </w:rPr>
              <w:t>all students receive a high-quality education.</w:t>
            </w:r>
          </w:p>
        </w:tc>
      </w:tr>
      <w:tr w:rsidR="00865F4E" w:rsidRPr="001B13ED" w14:paraId="71D98B40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C67B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Characteristics of Highly Effective Educators</w:t>
            </w:r>
          </w:p>
          <w:p w14:paraId="6B51C08D" w14:textId="6023205A" w:rsidR="00781B99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lastRenderedPageBreak/>
              <w:t>Teachers will</w:t>
            </w:r>
            <w:r w:rsidR="00781B99"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 trained not only in the content and instructional practices, but</w:t>
            </w:r>
            <w:r w:rsidR="00781B99"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23319191" w14:textId="3E9CF70F" w:rsidR="003F6387" w:rsidRPr="00422DE6" w:rsidRDefault="00781B99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</w:t>
            </w:r>
            <w:r w:rsidR="003F6387"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lso in differentiated instruction, innovation and engagement,</w:t>
            </w:r>
          </w:p>
          <w:p w14:paraId="3FAA3CDF" w14:textId="0D95ED02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trauma-informed care, and social-emotional learning to ensure</w:t>
            </w:r>
            <w:r w:rsid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  <w:p w14:paraId="41DDB79B" w14:textId="00EDFEA6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all students receive a high-quality education.</w:t>
            </w:r>
          </w:p>
        </w:tc>
      </w:tr>
      <w:tr w:rsidR="00865F4E" w:rsidRPr="001B13ED" w14:paraId="7D617D8B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6E1D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lastRenderedPageBreak/>
              <w:t>Fostering a Growth Mindset in Your Students</w:t>
            </w:r>
          </w:p>
          <w:p w14:paraId="618D2B09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Through innovation, teachers will be</w:t>
            </w:r>
          </w:p>
          <w:p w14:paraId="7FB8D4CD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empowered to expand their teaching repertoire and provide</w:t>
            </w:r>
          </w:p>
          <w:p w14:paraId="70C8C92F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students with an array of meaningful learning opportunities that</w:t>
            </w:r>
          </w:p>
          <w:p w14:paraId="41BFFD34" w14:textId="61DB1512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will, in turn, empower students to create their own future.</w:t>
            </w:r>
          </w:p>
        </w:tc>
      </w:tr>
      <w:tr w:rsidR="00865F4E" w:rsidRPr="001B13ED" w14:paraId="272B8B77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EAB3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 xml:space="preserve">Visual Representations: An Effective Tool to Promote Learning and Critical Thinking </w:t>
            </w:r>
          </w:p>
          <w:p w14:paraId="7B00369B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in Your Students</w:t>
            </w:r>
          </w:p>
          <w:p w14:paraId="79CC451D" w14:textId="40CF4D78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Teachers will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 trained not only in the content and instructional practices, but</w:t>
            </w:r>
          </w:p>
          <w:p w14:paraId="2C845F2D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also in differentiated instruction, innovation and engagement,</w:t>
            </w:r>
          </w:p>
          <w:p w14:paraId="6D43FBB7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trauma-informed care, and social-emotional learning to ensure</w:t>
            </w:r>
          </w:p>
          <w:p w14:paraId="201A2C8B" w14:textId="641C886D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all students receive a high-quality education.</w:t>
            </w:r>
          </w:p>
        </w:tc>
      </w:tr>
      <w:tr w:rsidR="00865F4E" w:rsidRPr="001B13ED" w14:paraId="1EB65D72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7E60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Instructional Strategies that Address Multiple Intelligences</w:t>
            </w:r>
          </w:p>
          <w:p w14:paraId="159CFF7F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Teachers will be trained not only in the content and instructional practices, but</w:t>
            </w:r>
          </w:p>
          <w:p w14:paraId="43025DB7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also in differentiated instruction, innovation and engagement,</w:t>
            </w:r>
          </w:p>
          <w:p w14:paraId="4CD20042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trauma-informed care, and social-emotional learning to ensure</w:t>
            </w:r>
          </w:p>
          <w:p w14:paraId="4C922C32" w14:textId="2F60C875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all students receive a high-quality education.</w:t>
            </w:r>
          </w:p>
        </w:tc>
      </w:tr>
      <w:tr w:rsidR="00865F4E" w14:paraId="07685CE3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76E9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 xml:space="preserve">Building Resilience in Your Students: Preparing Them for Success in Your Classroom </w:t>
            </w:r>
          </w:p>
          <w:p w14:paraId="4BC9C157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and Life</w:t>
            </w:r>
          </w:p>
          <w:p w14:paraId="7BCA5044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Based on student and teacher data, schools will implement a multi-tiered student</w:t>
            </w:r>
          </w:p>
          <w:p w14:paraId="1B7639CA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support system to address student and teacher needs to improve student and</w:t>
            </w:r>
          </w:p>
          <w:p w14:paraId="2193C23E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teacher outcomes. School administrators will monitor the progress of students to</w:t>
            </w:r>
          </w:p>
          <w:p w14:paraId="552BABBD" w14:textId="3C8F7F6B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determine the supports needed.</w:t>
            </w:r>
          </w:p>
        </w:tc>
      </w:tr>
      <w:tr w:rsidR="00865F4E" w14:paraId="6AC54B01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4236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Empowering Your Students for Success in Your Classroom and in Life</w:t>
            </w:r>
          </w:p>
          <w:p w14:paraId="2F35E183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Based on student and teacher data, schools will implement a multi-tiered student</w:t>
            </w:r>
          </w:p>
          <w:p w14:paraId="41193C2D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support system to address student and teacher needs to improve student and</w:t>
            </w:r>
          </w:p>
          <w:p w14:paraId="00265F2C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teacher outcomes. School administrators will monitor the progress of students to</w:t>
            </w:r>
          </w:p>
          <w:p w14:paraId="49C0212B" w14:textId="5B1DBFC6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determine the supports needed.</w:t>
            </w:r>
          </w:p>
        </w:tc>
      </w:tr>
      <w:tr w:rsidR="00865F4E" w14:paraId="549D9FCE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9F72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How to Help the Challenging Student in Your Classroom</w:t>
            </w:r>
          </w:p>
          <w:p w14:paraId="09EB9387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Based on student and teacher data, schools will implement a multi-tiered student</w:t>
            </w:r>
          </w:p>
          <w:p w14:paraId="2D875B5D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support system to address student and teacher needs to improve student and</w:t>
            </w:r>
          </w:p>
          <w:p w14:paraId="3CC8D6E7" w14:textId="77777777" w:rsidR="003F6387" w:rsidRPr="00422DE6" w:rsidRDefault="003F6387" w:rsidP="003F6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teacher outcomes. School administrators will monitor the progress of students to</w:t>
            </w:r>
          </w:p>
          <w:p w14:paraId="2DDB6425" w14:textId="7FE926C5" w:rsidR="003F6387" w:rsidRPr="00865F4E" w:rsidRDefault="003F6387" w:rsidP="003F6387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determine the supports needed.</w:t>
            </w:r>
          </w:p>
        </w:tc>
      </w:tr>
      <w:tr w:rsidR="00865F4E" w14:paraId="66A88B94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A184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Effective Classroom Management: The Foundation for Learning</w:t>
            </w:r>
          </w:p>
          <w:p w14:paraId="729E61FD" w14:textId="26BED68A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Teachers will</w:t>
            </w:r>
            <w:r w:rsidR="00781B99"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 trained not only in the content and instructional practices, but</w:t>
            </w:r>
          </w:p>
          <w:p w14:paraId="41220F6F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also in differentiated instruction, innovation and engagement,</w:t>
            </w:r>
          </w:p>
          <w:p w14:paraId="52B6FE26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lastRenderedPageBreak/>
              <w:t>trauma-informed care, and social-emotional learning to ensure</w:t>
            </w:r>
          </w:p>
          <w:p w14:paraId="3E087CCD" w14:textId="5140D610" w:rsidR="0074500D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all students receive a high-quality education.</w:t>
            </w:r>
          </w:p>
        </w:tc>
      </w:tr>
      <w:tr w:rsidR="00865F4E" w14:paraId="6A068105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0299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lastRenderedPageBreak/>
              <w:t>Deconstructing Standards/Objectives: How to Create Specific Learning Targets</w:t>
            </w:r>
          </w:p>
          <w:p w14:paraId="59BB902E" w14:textId="023928AE" w:rsidR="00DC06A2" w:rsidRPr="00422DE6" w:rsidRDefault="00DC06A2" w:rsidP="00DC0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Teachers will</w:t>
            </w:r>
            <w:r w:rsidR="00781B99"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 trained not only in the content and instructional practices, but</w:t>
            </w:r>
          </w:p>
          <w:p w14:paraId="0B97246F" w14:textId="77777777" w:rsidR="00DC06A2" w:rsidRPr="00422DE6" w:rsidRDefault="00DC06A2" w:rsidP="00DC0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also in differentiated instruction, innovation and engagement,</w:t>
            </w:r>
          </w:p>
          <w:p w14:paraId="405D6322" w14:textId="77777777" w:rsidR="00DC06A2" w:rsidRPr="00422DE6" w:rsidRDefault="00DC06A2" w:rsidP="00DC0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trauma-informed care, and social-emotional learning to ensure</w:t>
            </w:r>
          </w:p>
          <w:p w14:paraId="6AFF9510" w14:textId="59B0DAA7" w:rsidR="00DC06A2" w:rsidRPr="00865F4E" w:rsidRDefault="00DC06A2" w:rsidP="00DC06A2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all students receive a high-quality education.</w:t>
            </w:r>
          </w:p>
        </w:tc>
      </w:tr>
      <w:tr w:rsidR="00865F4E" w14:paraId="40A04BA2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6174" w14:textId="50E156CE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Developing a Strengthened Sense of Responsibility in Your Students</w:t>
            </w:r>
          </w:p>
          <w:p w14:paraId="0CDAC0F4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We will promote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Nā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Hopena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Aʻo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, or HĀ (“BREATH”), as a</w:t>
            </w:r>
          </w:p>
          <w:p w14:paraId="3F2912CD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framework of system outcomes that reflect the expected</w:t>
            </w:r>
          </w:p>
          <w:p w14:paraId="25C32B39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behaviors, dispositions and functioning competencies of our</w:t>
            </w:r>
          </w:p>
          <w:p w14:paraId="1690808C" w14:textId="4B5E0100" w:rsidR="00FD07A1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system of learning and leading. Policy E-3.</w:t>
            </w:r>
          </w:p>
        </w:tc>
      </w:tr>
      <w:tr w:rsidR="00865F4E" w14:paraId="038427A7" w14:textId="77777777" w:rsidTr="00FD07A1">
        <w:trPr>
          <w:trHeight w:val="275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ACA1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Inspiring Excellence in Your Students</w:t>
            </w:r>
          </w:p>
          <w:p w14:paraId="1F8B0902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We will promote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Nā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Hopena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Aʻo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, or HĀ (“BREATH”), as a</w:t>
            </w:r>
          </w:p>
          <w:p w14:paraId="33E5656C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framework of system outcomes that reflect the expected</w:t>
            </w:r>
          </w:p>
          <w:p w14:paraId="0270B5F5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behaviors, dispositions and functioning competencies of our</w:t>
            </w:r>
          </w:p>
          <w:p w14:paraId="60825859" w14:textId="30006098" w:rsidR="009B3A01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system of learning and leading.</w:t>
            </w: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Policy E-3.</w:t>
            </w:r>
          </w:p>
        </w:tc>
      </w:tr>
      <w:tr w:rsidR="00865F4E" w14:paraId="7B27AE2F" w14:textId="77777777" w:rsidTr="00422DE6">
        <w:trPr>
          <w:trHeight w:val="341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8673" w14:textId="77777777" w:rsidR="00865F4E" w:rsidRDefault="00865F4E" w:rsidP="00502340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865F4E">
              <w:rPr>
                <w:rFonts w:ascii="Lucida Bright" w:hAnsi="Lucida Bright"/>
                <w:b/>
                <w:color w:val="434343"/>
                <w:sz w:val="24"/>
                <w:szCs w:val="24"/>
              </w:rPr>
              <w:t>Building a Sense of Total Well-being in Your Students</w:t>
            </w:r>
          </w:p>
          <w:p w14:paraId="7D054256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We will promote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Nā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Hopena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Aʻo</w:t>
            </w:r>
            <w:proofErr w:type="spellEnd"/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, or HĀ (“BREATH”), as a</w:t>
            </w:r>
          </w:p>
          <w:p w14:paraId="4DCECAC9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framework of system outcomes that reflect the expected</w:t>
            </w:r>
          </w:p>
          <w:p w14:paraId="11467071" w14:textId="77777777" w:rsidR="0074500D" w:rsidRPr="00422DE6" w:rsidRDefault="0074500D" w:rsidP="0074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behaviors, dispositions and functioning competencies of our</w:t>
            </w:r>
          </w:p>
          <w:p w14:paraId="7FF1D28F" w14:textId="56545659" w:rsidR="009B3A01" w:rsidRPr="00865F4E" w:rsidRDefault="0074500D" w:rsidP="0074500D">
            <w:pPr>
              <w:widowControl w:val="0"/>
              <w:spacing w:line="240" w:lineRule="auto"/>
              <w:rPr>
                <w:rFonts w:ascii="Lucida Bright" w:hAnsi="Lucida Bright"/>
                <w:b/>
                <w:color w:val="434343"/>
                <w:sz w:val="24"/>
                <w:szCs w:val="24"/>
              </w:rPr>
            </w:pPr>
            <w:r w:rsidRPr="00422DE6">
              <w:rPr>
                <w:rFonts w:ascii="Í˘Œ˛" w:eastAsiaTheme="minorHAnsi" w:hAnsi="Í˘Œ˛" w:cs="Í˘Œ˛"/>
                <w:color w:val="auto"/>
                <w:sz w:val="24"/>
                <w:szCs w:val="24"/>
                <w:lang w:val="en-US"/>
              </w:rPr>
              <w:t>system of learning and leading. Policy E-3.</w:t>
            </w:r>
          </w:p>
        </w:tc>
      </w:tr>
    </w:tbl>
    <w:p w14:paraId="7D3B04D1" w14:textId="77777777" w:rsidR="008E2D1E" w:rsidRDefault="00422DE6"/>
    <w:sectPr w:rsidR="008E2D1E" w:rsidSect="0002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Í˘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4E"/>
    <w:rsid w:val="00020A61"/>
    <w:rsid w:val="002B71FA"/>
    <w:rsid w:val="003F6387"/>
    <w:rsid w:val="00422DE6"/>
    <w:rsid w:val="004B41DC"/>
    <w:rsid w:val="0074500D"/>
    <w:rsid w:val="00781B99"/>
    <w:rsid w:val="00797965"/>
    <w:rsid w:val="00833128"/>
    <w:rsid w:val="00865F4E"/>
    <w:rsid w:val="008A4CCD"/>
    <w:rsid w:val="008C2DA1"/>
    <w:rsid w:val="009B3A01"/>
    <w:rsid w:val="00AD2B48"/>
    <w:rsid w:val="00B12D69"/>
    <w:rsid w:val="00C00D57"/>
    <w:rsid w:val="00CD561B"/>
    <w:rsid w:val="00DC06A2"/>
    <w:rsid w:val="00DD6851"/>
    <w:rsid w:val="00F942AF"/>
    <w:rsid w:val="00FD07A1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1D8F"/>
  <w15:chartTrackingRefBased/>
  <w15:docId w15:val="{03E4B877-2508-5C40-AF36-4916C34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638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2021-10-12T20:13:00Z</dcterms:created>
  <dcterms:modified xsi:type="dcterms:W3CDTF">2021-10-12T20:54:00Z</dcterms:modified>
</cp:coreProperties>
</file>